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8228965</wp:posOffset>
            </wp:positionH>
            <wp:positionV relativeFrom="paragraph">
              <wp:posOffset>-137160</wp:posOffset>
            </wp:positionV>
            <wp:extent cx="619125" cy="4375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Humanist521PL-Roman;MS Mincho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eastAsia="Humanist521PL-Roman;MS Mincho" w:cs="Times New Roman" w:ascii="Times New Roman" w:hAnsi="Times New Roman"/>
          <w:b/>
          <w:bCs/>
          <w:color w:val="000000"/>
          <w:sz w:val="28"/>
          <w:szCs w:val="28"/>
          <w:u w:val="single"/>
        </w:rPr>
        <w:t>OGÓLNE ZASADY OCENIANIA UCZNIÓW</w:t>
      </w:r>
    </w:p>
    <w:p>
      <w:pPr>
        <w:pStyle w:val="Normal"/>
        <w:tabs>
          <w:tab w:val="clear" w:pos="709"/>
          <w:tab w:val="left" w:pos="284" w:leader="none"/>
        </w:tabs>
        <w:rPr>
          <w:rFonts w:ascii="Times New Roman" w:hAnsi="Times New Roman" w:eastAsia="Humanist521PL-Roman;MS Mincho" w:cs="Times New Roman"/>
          <w:b/>
          <w:b/>
          <w:color w:val="000000"/>
          <w:sz w:val="20"/>
          <w:szCs w:val="20"/>
        </w:rPr>
      </w:pPr>
      <w:r>
        <w:rPr>
          <w:rFonts w:eastAsia="Humanist521PL-Roman;MS Mincho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spacing w:lineRule="auto" w:line="276"/>
        <w:ind w:left="284" w:right="0" w:hanging="284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</w:rPr>
        <w:t>1.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>
      <w:pPr>
        <w:pStyle w:val="Normal"/>
        <w:spacing w:lineRule="auto" w:line="276"/>
        <w:ind w:left="284" w:right="0" w:hanging="284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</w:rPr>
        <w:t>2.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ab/>
        <w:t>Nauczyciel:</w:t>
      </w:r>
    </w:p>
    <w:p>
      <w:pPr>
        <w:pStyle w:val="Normal"/>
        <w:spacing w:lineRule="auto" w:line="276"/>
        <w:ind w:left="426" w:right="0" w:hanging="142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•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ab/>
        <w:t>informuje ucznia o poziomie jego osiągnięć edukacyjnych oraz o postępach w tym zakresie;</w:t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ind w:left="0" w:right="0" w:firstLine="284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•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ab/>
        <w:t>udziela uczniowi pomocy w samodzielnym planowaniu swojego rozwoju;</w:t>
      </w:r>
    </w:p>
    <w:p>
      <w:pPr>
        <w:pStyle w:val="Normal"/>
        <w:spacing w:lineRule="auto" w:line="276"/>
        <w:ind w:left="426" w:right="0" w:hanging="142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•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ab/>
        <w:t>udziela uczniowi pomocy w nauce poprzez przekazanie informacji o tym, co zrobił dobrze i jak powinien się dalej uczyć;</w:t>
      </w:r>
    </w:p>
    <w:p>
      <w:pPr>
        <w:pStyle w:val="Normal"/>
        <w:tabs>
          <w:tab w:val="clear" w:pos="709"/>
          <w:tab w:val="left" w:pos="426" w:leader="none"/>
        </w:tabs>
        <w:spacing w:lineRule="auto" w:line="276"/>
        <w:ind w:left="0" w:right="0" w:firstLine="284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•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ab/>
        <w:t>motywuje ucznia do dalszych postępów w nauce;</w:t>
      </w:r>
    </w:p>
    <w:p>
      <w:pPr>
        <w:pStyle w:val="Normal"/>
        <w:spacing w:lineRule="auto" w:line="276"/>
        <w:ind w:left="426" w:right="0" w:hanging="142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•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ab/>
        <w:t>dostarcza rodzicom informacji o postępach, trudnościach w nauce oraz specjalnych uzdolnieniach ucznia.</w:t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284" w:right="0" w:hanging="284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Oceny są jawne dla ucznia i jego rodziców.</w:t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284" w:right="0" w:hanging="284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Nauczyciel uzasadnia ustaloną ocenę w sposób określony w statucie szkoły.</w:t>
      </w:r>
    </w:p>
    <w:p>
      <w:pPr>
        <w:pStyle w:val="Akapitzlist"/>
        <w:numPr>
          <w:ilvl w:val="0"/>
          <w:numId w:val="1"/>
        </w:numPr>
        <w:spacing w:lineRule="auto" w:line="276" w:before="0" w:after="0"/>
        <w:ind w:left="284" w:right="0" w:hanging="284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Sprawdzone i ocenione pisemne prace kontrolne są udostępniane do wglądu uczniowi lub jego rodzicom.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84" w:right="0" w:hanging="284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Szczegółowe warunki i sposób oceniania wewnątrzszkolnego określa statut szkoły.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8183245</wp:posOffset>
            </wp:positionH>
            <wp:positionV relativeFrom="paragraph">
              <wp:posOffset>-30480</wp:posOffset>
            </wp:positionV>
            <wp:extent cx="619125" cy="43751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Wymagania edukacyjne na poszczególne oceny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NOWE Słowa na start! </w:t>
      </w:r>
      <w:r>
        <w:rPr>
          <w:rFonts w:cs="Times New Roman" w:ascii="Times New Roman" w:hAnsi="Times New Roman"/>
          <w:b/>
          <w:sz w:val="24"/>
          <w:szCs w:val="24"/>
        </w:rPr>
        <w:t>klasa 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41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6"/>
        <w:gridCol w:w="2357"/>
        <w:gridCol w:w="2356"/>
        <w:gridCol w:w="2359"/>
        <w:gridCol w:w="2360"/>
      </w:tblGrid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dopuszczająca)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podstawowe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dostateczna)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dopełniające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bardzo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wykraczające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celująca)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sposobach spędzania wolnego czasu ze swoją rodziną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zdanie na temat sytuacji sprzyjających zacieśnianiu więzi rodzinnych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dwie cechy gospodarza i dwie cechy gościa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gospodarza i cechy gościa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 odpowiednio modulując głos i dokonując interpretacji głosowej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zasady gościnności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nietypowy sposób swój dom, domowników i ulubione przedmioty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sporządzenia notatki w formie schematu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niepełną notatkę o bohaterze utworu w formie schematu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bohaterze utworu w formie schematu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o bohaterach utworu w formie schematów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ostatnie wersy utworu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drzewa genealogicznego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swojej rodzinie w formie drzewa genealogicznego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próbę napisania życzeń lub pozdrowień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według wzoru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życzenia lub pozdrowienia odpowiednie do sytuacji i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różnice między SMS-em a kartką pocztową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emotikony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6., 7.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litery w kolejności alfabetycznej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wyrazy na sylaby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porządkuje wyrazy w kolejności alfabetycznej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dzieli wyrazy na sylaby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głoski i litery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liczbę liter i głosek w podanych wyrazach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przenosi wyrazy do następnej linii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samogłoski i spółgłoski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odróżnia samogłoski i spółgłoski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sprawnie korzysta ze słownika ortograficznego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języka polskiego i słowniku ortograficznym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definicje wyrazów w słowniku języka polskiego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ze słownika języka polskiego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 i słownika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i słownika języka polskiego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internetowych wersji słowników</w:t>
            </w:r>
          </w:p>
        </w:tc>
      </w:tr>
      <w:tr>
        <w:trPr>
          <w:trHeight w:val="154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nadawcę i odbiorcę komunikatu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najczęściej występujące znaki graficzne i symbole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komunikaty słowne, graficzne i dźwiękowe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znaki graficzne i symbole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przekazywane za pomocą gestów i mimiki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określone informacje odpowiednimi gestami i mimiką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projektuje znaki graficzne przekazujące określone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i odczytuje podstawowe słowa w języku migowym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zdania oznajmujące, pytające i rozkazujące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proste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 oznajmujące, pytające i rozkazujące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oznajmujące w zdania pytające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rozkazujące tak, by wyrażały prośbę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rodzaje zdań w zależności od zamierzonego celu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znaki interpunkcyjne: kropkę, pytajnik, wykrzyknik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kropkę na końcu zdania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znaki interpunkcyjne: kropkę, wykrzyknik, pytajnik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znaki interpunkcyjne: kropkę, wykrzyknik, pytajnik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różnicę w treści zdania w zależności od zastosowanego znaku interpunkcyjnego: kropki, wykrzyknika, pytajnika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krótki dialog złożony z różnych rodzajów zdań i poprawnie stosuje znaki interpunkcyjne</w:t>
            </w:r>
          </w:p>
        </w:tc>
      </w:tr>
      <w:tr>
        <w:trPr>
          <w:trHeight w:val="836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formułuje zasady dobrego zachowania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pomysły na ciekawe spędzanie wolnego czasu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miejscowość i datę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listu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listu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według wzoru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grzecznościowe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kolegi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różne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tekst na akapity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określonego adresata na podany temat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tej formy wypowiedzi, redaguje poprawny i wyczerpujący list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rzeczowniki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przypadki rzeczownika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rzeczownika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rzeczownik przez liczby i przypadki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rzeczowniki w odpowiednich formach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 i liczbę danego rzeczownika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używa różnych form rzeczowników sprawiających trudności, a w przypadku wątpliwości korzysta ze słownika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wiersz na wersy, strofy,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rymy,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rym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wiersza przykłady rymów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własne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dokonując interpretacji głosowej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propozycje nazw oryginalnych dań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szkolnych albo rodzinnych rytuałach i wyjaśnia, czemu one służą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Wszystko jest poezją, każdy jest poetą”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wersy, strofy, epitety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epitet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poetyckie określenia dla zjawisk przyrody przedstawionych na zdjęciach</w:t>
            </w:r>
          </w:p>
        </w:tc>
      </w:tr>
      <w:tr>
        <w:trPr>
          <w:trHeight w:val="355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bohaterce i jej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swoich relacjach z rodzeństwem lub przyjaciółmi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-uj, -uje, -unek, -us, -usz, -uch, -ura, -ulec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>
        <w:trPr>
          <w:trHeight w:val="274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kolory dominujące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innych sposobach spędzania wolnego czasu w gronie rówieśników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ożywienie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 tekście ożywienie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bohaterze wiersza i jego marzeniach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ożywienia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sytuację, w której znalazła się bohaterka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szkołę szwedzką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bohaterce, jej sytuacji w nowej szkole i uczuciach, jakich doświadczyła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szkoły polską i szwedzką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w wybranej formie (plakat, film, prezentacja) interesujące informacje o swojej szkole dla rówieśników z innego kraju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przymiotniki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przymiotnika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przymiotnik przez liczby i przypadki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tekstu rzeczowniki wraz z określającymi je przymiotnikami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przymiotniki w rodzaju męskoosobowym i niemęskoosobowym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przypadek, rodzaj i liczbę danego przymiotnika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przymiotnika w liczbie pojedynczej i liczbie mnogiej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przypadku wątpliwości korzysta z odpowiedniego słownika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szkolnego kolegę, używając przymiotników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praca w grupie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nazwy określające narratora uczestniczącego w wydarzeniach i nieuczestniczącego w wydarzeniach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własne zdanie na temat pracy w grupie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które powinny obowiązywać podczas wspólnego wykonywania zadań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czym jest wers, strofa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i autora swojej ulubionej książki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który mówi o korzyściach płynących z czytania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swoją ulubioną książkę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wersy, które mówią o korzyściach płynących z czytania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swoją ulubioną książkę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swoje ulubione książki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do gazetki szkolnej informacje o książce, którą warto przeczytać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książki i wskazuje je na rysunku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pracę poszczególnych osób tworzących książki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tworzeniem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zdaniach, jak powstaje książka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interesujący sposób, jak powstaje książka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budowę książki, posługując się odpowiednim słownictwem (strona tytułowa, grzbiet książki itp.)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wyszukuje informacje w różnych źródłach i przygotowuje prezentację przedstawiającą wybrany zawód związany z procesem powstawania książki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imiona, nazwiska, przydomki, przezwiska, tytuły książek, filmów, programów, dzieł sztuki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tytuły książek, filmów, utworów, dzieł sztuki, programów radiowych i telewizyjnych, również ze spójnikami i przyimkami wewnątrz tytułu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wielką i małą literą)</w:t>
            </w:r>
          </w:p>
        </w:tc>
      </w:tr>
      <w:tr>
        <w:trPr>
          <w:trHeight w:val="4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cudzysłów i kursywę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zastosowanie cudzysłowu i kursywy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tytuły utworów w cudzysłowach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cytowane wypowiedzi w cudzysłowach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kursywę w tekście pisanym na komputerze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e-mail do kolegi lub koleżanki na temat swoich ulubionych książek, filmów i programów TV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nazwę formy spędzania wolnego czasu przedstawioną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wers, strofa i epitet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 i epitet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tym, co dzieje się w świecie opisanym w książkach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własne propozycje wyrazów rymujących się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wymienia, co znajduje się w księgozbiorze podręcznym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katalog biblioteczny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zachowania się w bibliotece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rodzaje katalogów bibliotecznych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przestrzega zasad zachowania się w bibliotece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rodzaje katalogów bibliotecznych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katalog biblioteczny odpowiedni w określonej sytuacji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bibliotecznego i wyszukuje potrzebne książki i materiały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katalogowa i wymienia jej najważniejsze elementy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elementy karty katalogowej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 karty katalogowej informacje o szukanej książce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odnajduje w książce informacje potrzebne do przygotowania karty katalogowej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znajduje wskazane informacje w karcie katalogu internetowego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internetowego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internetowego i wyszukuje potrzebne książki i materiały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notatka i wymienia różne sposoby notowania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różne sposoby notowania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 i punktów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wybiera z tekstu ważne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tekstu, punktów, schematu, tabeli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określonej formie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sposób zanotowania ważnych informacji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wybiera najlepszą formę notatki i samodzielnie ją redaguje, zgodnie z wymogami dotyczącymi tej formy wypowiedzi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bohaterów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komentarz anioła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wyczerpująco sytuację przedstawioną w wierszu i odwołuje się do własnych doświadczeń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polegało nieporozumienie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innych szkolnych nieporozumień 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fantastyczne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i innych jego utworach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opowiadanie wywołane treścią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sporządza notatki</w:t>
            </w:r>
          </w:p>
        </w:tc>
      </w:tr>
      <w:tr>
        <w:trPr>
          <w:trHeight w:val="368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fantastyczne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lekcjach w Akademii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wydarzenia, postacie i przedmioty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wydarzenia fantastyczne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lekcjach w Akademii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notatkę w punktach – plan dnia w Akademii pana Kleksa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nietypowe przedmioty, których lekcje mogłyby się odbywać w szkole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opis postaci i wymienia jego najważniejsze elementy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wyrazy opisujące wygląd postaci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ustnie w 2–3 zdaniach wygląd i zachowanie postaci rzeczywistej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 znaczeniu przeciwstawnym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według wzoru opis postaci rzeczywistej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opis postaci rzeczywistej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odpowiednią kompozycję w wypowiedzi pisemnej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w wypowiedzi pisemnej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postaci,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Pinokia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Pinokia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321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postacie występujące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 (stroje, mimikę)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emocje, które mogą odczuwać chłopcy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proponuje, o czym mogą myśleć bohaterowie przedstawieni na obrazie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porównanie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myśli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porównanie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swoich zainteresowaniach, ulubionych zajęciach i marzeniach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porównania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porównania i określa ich funkcję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swoich zainteresowaniach, ulubionych zajęciach, planach i marzeniach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wymyśla własne przykłady porównań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ilustrację do wybranego fragmentu wiersza (przekład intersemiotyczny)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życzenia dzieci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życzenia dzieci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Maciusia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dzieci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ocenia postulaty dzieci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na temat potrzeb dzieci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ocenia ich zachowanie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własny postulat na sejm dziecięcy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internecie informacje o prawach dziecka i sporządza na ten temat notatkę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strofa,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oddając nastrój utworu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jakimi osiągnięciami, wiedzą i umiejętnościami warto się chwalić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Prawie wszystko o czasowniku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czasowniki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bezokolicznik jako nieosobową formę czasownika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przez liczby i osoby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bezokolicznik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czasowniki w odpowiednich formach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osobę, liczbę i rodzaj czasownika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osobową formę czasownika od nieosobowej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stosuje czasowniki w różnych rodzajach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poprawne formy trudnych czasowników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rodzaj i liczbę danego czasownika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bezokoliczników w wypowiedzi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męskoosobowy i niemęskoosobowy czasownika w czasie przeszłym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przeszłym przez osoby, liczby i rodzaje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czasownika w czasie przeszłym w liczbie pojedynczej i mnogiej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rodzaju męskoosobowym i niemęskoosobowym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czasie przeszłym, teraźniejszym i przyszłym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przyszłym w formie prostej i złożonej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rodzaj męskoosobowy i niemęskoosobowy czasowników w czasie przeszłym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przekształca teksty pisane w czasie teraźniejszym na teksty pisane w czasie przeszłym lub przyszłym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formy prostą i złożoną czasowników w czasie przyszłym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w formach osobowych czasowników formę złożoną czasu przyszłego z bezokolicznikiem od formy złożonej z dwóch czasowników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w 2–3 zdaniach swoją opinię o lekturze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i sporządza z nich notatki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autorach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twórcze opowiadanie związane z treścią utworu, np. o zabawnej historii, która wydarzyła się w szkole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nazwę opowiadania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w sposób wyczerpujący na temat wydarzeń przedstawionych w tekście, odwołując się do znajomości całej lektury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strofa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wyraz bliskoznaczny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wyrazy bliskoznaczne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bohaterki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dobiera wyrazy bliskoznaczne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bohaterki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przydomkiem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wymyśla ciekawe i zabawne przydomki odnoszące się do zalet oraz mocnych stron kolegów i koleżanek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wyrazów bliskoznacznych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wyrazy bliskoznaczne w słowniku synonimów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synonimów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dobiera wyrazy bliskoznaczne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 internetowych wersji słownika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synonimów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Każdy z nas potrafi zrozumieć zasady ortografii!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tenisówki Percy’ego i wyjaśnia, na czym polegała ich moc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opisu przedmiotu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opisujące wygląd przedmiotu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wygląd, wielkość, kształt, kolor przedmiotu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informacje na temat wyglądu przedmiotu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przedmiotu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przedmiotu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przedmiotu,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rym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cechy, jakie powinna mieć osoba, która zasługuje na miano wielkiego człowieka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cechy, jakie powinna mieć osoba, która zasługuje na miano wielkiego człowieka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>
        <w:trPr>
          <w:trHeight w:val="376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pejzażu przedstawione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pejzażu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pejzaż od portretu i martwej natury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 i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elementy pejzażu przedstawionego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strofy i rymy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dla rówieśników z innego kraju interesujące informacje o Polsce w wybranej formie (plakat, film, prezentacja)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tekst hymnu z pamięci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przyjmuje odpowiednią postawę w czasie śpiewania hymnu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uroczystości i sytuacje, w czasie których śpiewany jest hymn państwowy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rytm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podmiot liryczny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wersy, strofy,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strofę, dzieląc wyrazy na sylaby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podmiot liryczny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rytm w dwóch dowolnie wybranych strofach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utwór, i wskazuje odpowiednie cytaty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 rytm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współcześnie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historię powstania polskiego hymnu państwowego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kim byli: Jan Henryk Dąbrowski, Stefan Czarniecki, Napoleon Bonaparte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nad polskim niebem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 i rymy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utworu z pamięci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porównanie i ożywienie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porównanie i ożywienie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porównania i ożywienia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o przedstawionych w utworze chmurach, wypisując przymiotniki i czasowniki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objaśnia znaczenie wyrazów nieużywanych dziś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występujące w utworze porównania i ożywienia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 </w:t>
            </w:r>
          </w:p>
          <w:p>
            <w:pPr>
              <w:pStyle w:val="Normal"/>
              <w:tabs>
                <w:tab w:val="clear" w:pos="709"/>
                <w:tab w:val="left" w:pos="591" w:leader="none"/>
              </w:tabs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dlaczego według tytułowego bohatera ojczyste niebo jest piękniejsze od włoskiego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utworu, odpowiednio modulując głos i oddając jego nastrój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porównania opisujące inne zjawiska przyrody, np. deszcz, zachód słońca, tęczę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przysłówki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przysłówki w tekście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przysłówki pochodzące od przymiotników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przysłówki od przymiotników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przysłówkami w zdaniu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przysłówków w zdaniu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dostrzega związek między przysłówkiem a czasownikiem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różnych, celowo dobranych przysłówków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realistyczne i fantastyczne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realistyczne i fantastyczne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ciekawie o wydarzeniach przedstawionych w utworze, zachowując chronologię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morał płynący z opowieści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księciu Popielu i sporządza notatkę na jego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>
        <w:trPr>
          <w:trHeight w:val="409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Tutaj się osiedlimy…”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wydarzenia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godle Polski i sporządza na jego temat notatkę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herbie miejscowości, w której mieszka </w:t>
            </w:r>
          </w:p>
        </w:tc>
      </w:tr>
      <w:tr>
        <w:trPr>
          <w:trHeight w:val="172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legendy związane z regionem, w którym mieszka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sposób interesujący opowiada jedną z legend związanych z regionem, w którym mieszka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pisze opowiadanie o legendarnych wydarzeniach, unikając powtórzeń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pochodzeniu bursztynu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ramowy i szczegółowy plan wydarzeń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według chronologii plan ramowy wydarzeń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odtwórczy plan ramowy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czasowniki w rzeczowniki nazywające czynności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rozbudowuje plan ramowy w plan szczegółowy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 układ graficzny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jedno miejsce realistyczne występujące w legendzie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miejsca realistyczne występujące w legendzie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trzy miejsca realistyczne występujące w legendzie: rynek w Krakowie, kopalnie srebra w Olkuszu, Maczugę Herkulesa koło Pieskowej Skały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fragment wiersza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Twardowskiego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wiersza, odpowiednio modulując głos i oddając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panu Twardowskim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Złotego Kaczora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Złotego Kaczora, uwzględniając jego sposób mówienia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Złotym Kaczorze i jego zachowaniu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legendę o Złotej Kaczce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legendę o Złotej Kaczce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strofa, rym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o swoich wrażeniach z ostatnio obejrzanego przedstawienia teatralnego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sposoby wykorzystania różnych przedmiotów codziennego użytku w teatrze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spektakl teatralny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osoby tworzące spektakl teatralny i opisuje ich pracę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2–3 zasady kulturalnego zachowania się w teatrze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swojej wizycie w teatrze, używając słownictwa związanego z teatrem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swojej wizycie w teatrze, swobodnie używając słownictwa związanego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zasady kulturalnego zachowania się w teatrze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nazwisk współczesnych twórców teatralnych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plan ramowy wydarzeń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tekst główny i tekst poboczny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plan ramowy wydarzeń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w 2–3 zdaniach Bazyliszka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rozwija plan ramowy wydarzeń w plan szczegółowy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Bazyliszka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(tekst główny, tekst poboczny)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poprawny szczegółowy plan wydarzeń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planuje scenografię, rekwizyty, kostiumy, ruch sceniczny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przygotowuje inscenizację przedstawienia „Legenda o warszawskim Bazyliszku”</w:t>
            </w:r>
          </w:p>
        </w:tc>
      </w:tr>
      <w:tr>
        <w:trPr>
          <w:trHeight w:val="340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Ruszamy w podróż do baśniowej krainy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przedmioty i postacie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elementy realistyczne i fantastyczne występujące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przedmioty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ramowy plan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głównej bohaterki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ramowy plan wydarzeń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Kopciuszku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przyczyny popularności baśni o Kopciuszku 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pomoże dobra wróżka…”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tekst główny i poboczny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dialog i monolog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elementy plakatu teatralnego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humorystyczny charakter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informacje z plakatu teatralnego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(podział na akty i sceny)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morał płynący z przedstawienia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planuje grę aktorską i projektuje dekoracje, kostiumy, rekwizyty do przedstawienia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poboczny, podział na akty i sceny)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plakat teatralny do szkolnego przedstawienia dowolnej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zaproszenia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 sposób ustny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według wzoru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i charakterystyczne sformułowania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pisemnie zaproszenie, uwzględniając konieczne elementy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zaproszenie i nadaje mu ciekawą formę graficzną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przyimki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przyimki w tekście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wyrażenia przyimkowe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wyrażenia przyimkowe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przyimków w zdaniu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wyrażenia przyimkowe wskazujące na miejsce i wskazujące na czas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wyrażeń przyimkowych</w:t>
            </w:r>
          </w:p>
        </w:tc>
      </w:tr>
      <w:tr>
        <w:trPr>
          <w:trHeight w:val="240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tytuły znanych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najbardziej znanych autorów baśni: H.Ch. Andersena, braci Grimm, Ch. Perrault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swoją ulubioną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magiczny przedmiot i jego właściwości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bohaterów baśni: H.Ch. Andersena, braci Grimm, Ch. Perrault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przedmioty i ich właściwości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autorów baśni: H.Ch. Andersena, braci Grimm, Ch. Perrault i ich twórczość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ulubioną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magicznego przedmiotu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pytania i zadania dla uczestników szkolnego konkursu czytelniczego „W świecie baśni”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rysuje ilustracje do baśni i przygotowuje teatrzyk kamishibai </w:t>
            </w:r>
          </w:p>
        </w:tc>
      </w:tr>
      <w:tr>
        <w:trPr>
          <w:trHeight w:val="7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spójniki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spójniki w tekście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 wypowiedź pisemną odpowiednimi spójnikami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spójników w zdaniu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spójników</w:t>
            </w:r>
          </w:p>
        </w:tc>
      </w:tr>
      <w:tr>
        <w:trPr>
          <w:trHeight w:val="93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przed spójnikami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przed podanymi spójnikami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przecinek zgodnie z zasadami interpunkcji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interpunkcyjnie zapisuje tekst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baśń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rybaku i złotej rybce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 i wymienia jego części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na podstawie historyjki obrazkowej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 i trójdzielną kompozycję wypowiedzi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początek opowiadania na podany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 zgodnie z planem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opowiadanie, zachowując kolejność wydarzeń i trójdzielną kompozycję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twórcze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poprawne i wyczerpujące opowiadanie twórcze, unikając powtórzeń</w:t>
            </w:r>
          </w:p>
        </w:tc>
      </w:tr>
      <w:tr>
        <w:trPr>
          <w:trHeight w:val="55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pouczenie wypływające z baśni o szewczyku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którego bohaterem jest postać z baśni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elementy rytmizujące utwór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redaguje baśń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krótkie, zabawne historyjki, używając wyrazów z trudnością 121ortograficzną</w:t>
            </w:r>
          </w:p>
        </w:tc>
      </w:tr>
      <w:tr>
        <w:trPr>
          <w:trHeight w:val="269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o czym może myśleć bohaterka obrazu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tematyki obrazu z tytułem rozdziału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zwrotami grzecznościowymi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forma podziękowania i wymienia jego najważniejsze elementy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ustne podziękowanie w określonej sytuacji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 według wzoru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pisemne podziękowanie, uwzględniając konieczne elementy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podziękowanie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inny tytuł dla fragmentu tekstu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których przestrzeganie sprawi, że każdy będzie się czuł w szkole bezpiecznie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oraz wydarzenia rzeczywiste i fantastyczne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postacie oraz wydarzenia rzeczywiste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pracując w grupie, redaguje podziękowanie w imieniu Ikukiego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bohaterów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2–3 nazw uczuć w notatce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Nangijalę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dialog w tekście literackim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 dialog odpowiednimi znakami interpunkcyjnymi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prowadzi rozmowy na zadany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redaguje dialog na określony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poprawnie zapisuje rozmowę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Polsce polkę tańczy Polka, czyli o pisowni wielką i małą literą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nazw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pisowni małą literą nazw mieszkańców miast, dzielnic, wsi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nazw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pisowni małą literą nazw mieszkańców miast, dzielnic, wsi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nazwy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małą i wielką literą)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treść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tworzy własny komiks z poznanymi bohaterami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swoje sposoby radzenia sobie ze stresem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 nazwy głównych części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orzeczenie jako określenie czynności lub stanu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i orzeczenie w podanych zdaniach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główne części zdania w tekście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określa, czym jest równoważnik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od równoważnika zdania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równoważniki zdania w zdania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zdania w równoważniki zdania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352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i elementy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i elementy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sposób przedstawienia zjawisk przyrody: wiatru, chmur, deszczu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elementy realistyczne i fantastyczne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 opowiadanie o wydarzeniach rozgrywających się w miejscu przedstawionym na obrazie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redaguje opowiadanie twórcze o dalszych losach bohatera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wersy i rymy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poeta nazywa bohatera marzycielem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marzeń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ogłoszenie i wymienia jego najważniejsze elementy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 według wzoru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krótko, zwięźle i konkretnie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ogłoszenie, uwzględniając jego konieczne elementy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ogłoszenie</w:t>
            </w:r>
          </w:p>
        </w:tc>
      </w:tr>
      <w:tr>
        <w:trPr>
          <w:trHeight w:val="284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podmiotu lirycznego i adresata utworu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refren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 i rymy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utworze refren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radę, jakiej udziela osoba mówiąca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rady, jakich udziela osoba mówiąca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tekstu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tekście artykułu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korzystając z podanego słownictwa, redaguje wypowiedź pisemną na temat przedstawiony w artykule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bohaterach, ich zachowaniu i prezentowanych pomysłach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wynalazku, który miał szczególne znaczenie dla ludzi, oraz przygotowuje na ten temat notatkę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komiksie, odwołując się do znajomości całej lektury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rysuje własny komiks o zabawnym wydarzeniu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swojego ulubionego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bohaterów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swój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początki sztuki komiksowej w Polsce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 początki sztuki komiksowej w Polsce i na świecie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marynarzy do rycerzy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głośno, z podziałem na role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rozpoznaje charakterystyczne cechy wywiadu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notuje rady dla początkujących twórców komiksów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układa pytania do wywiadu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wyjaśnia pisemnie, jak rozumie ostatnie dwa zdania wypowiedzi Janusza Christy</w:t>
            </w:r>
          </w:p>
        </w:tc>
      </w:tr>
      <w:tr>
        <w:trPr>
          <w:trHeight w:val="86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zdania składowe w zdaniu złożonym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zdania złożone ze zdań pojedynczych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stosuje odpowiednie spójniki, łącząc zdania pojedyncze w zdanie złożone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nierozwinięte od zdania pojedynczego rozwiniętego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grupę podmiotu i grupę orzeczenia w zdaniu pojedynczym rozwiniętym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rozwija zdania nierozwinięte w zdania rozwinięte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buduje zdania pojedyncze rozwinięte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użycia przecinka w zdaniu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56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wymienia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odczytuje uczucia i emocje przedstawione na rysunkach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wypowiada się na temat własnych marzeń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w dowcipny sposób na kilku rysunkach swoje marzenia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kolory,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pejzaż i ukazane na obrazie postacie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i opowiada historię, która mogłaby się wydarzyć w miejscu ukazanym na obrazie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ba8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pl-PL" w:eastAsia="ar-SA" w:bidi="ar-SA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40" w:after="0"/>
      <w:outlineLvl w:val="3"/>
    </w:pPr>
    <w:rPr>
      <w:rFonts w:ascii="Cambria" w:hAnsi="Cambria" w:cs="Cambria"/>
      <w:i/>
      <w:iCs/>
      <w:color w:val="365F91"/>
      <w:lang w:val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33b2"/>
    <w:rPr>
      <w:rFonts w:ascii="Segoe UI" w:hAnsi="Segoe UI" w:eastAsia="Lucida Sans Unicode" w:cs="Segoe UI"/>
      <w:kern w:val="2"/>
      <w:sz w:val="18"/>
      <w:szCs w:val="18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7d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27d4c"/>
    <w:rPr>
      <w:rFonts w:ascii="Calibri" w:hAnsi="Calibri" w:eastAsia="Lucida Sans Unicode" w:cs="Tahoma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27d4c"/>
    <w:rPr>
      <w:rFonts w:ascii="Calibri" w:hAnsi="Calibri" w:eastAsia="Lucida Sans Unicode" w:cs="Tahoma"/>
      <w:b/>
      <w:bCs/>
      <w:kern w:val="2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12311e"/>
    <w:rPr>
      <w:color w:val="808080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Mocnowyrniony">
    <w:name w:val="Mocno wyróżniony"/>
    <w:qFormat/>
    <w:rPr>
      <w:b/>
      <w:bCs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4Znak">
    <w:name w:val="Nagłówek 4 Znak"/>
    <w:qFormat/>
    <w:rPr>
      <w:rFonts w:ascii="Cambria" w:hAnsi="Cambria" w:eastAsia="Times New Roman" w:cs="Times New Roman"/>
      <w:i/>
      <w:iCs/>
      <w:color w:val="365F91"/>
      <w:sz w:val="24"/>
      <w:szCs w:val="24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cs="CentSchbookEU-Bold;Times New Roman"/>
      <w:b/>
      <w:color w:val="000000"/>
      <w:sz w:val="20"/>
      <w:szCs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cs="Times New Roman"/>
      <w:b/>
      <w:color w:val="000000"/>
      <w:sz w:val="20"/>
      <w:szCs w:val="22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cs="Times New Roman"/>
      <w:b/>
      <w:color w:val="000000"/>
      <w:sz w:val="20"/>
      <w:szCs w:val="20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kocowegoZnak">
    <w:name w:val="Tekst przypisu końcowego Znak"/>
    <w:qFormat/>
    <w:rPr>
      <w:rFonts w:ascii="Calibri" w:hAnsi="Calibri" w:eastAsia="Lucida Sans Unicode" w:cs="Tahoma"/>
      <w:kern w:val="2"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Wingdings" w:hAnsi="Wingdings" w:eastAsia="Lucida Sans Unicode" w:cs="Times New Roman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Wingdings" w:hAnsi="Wingdings" w:eastAsia="Lucida Sans Unicode" w:cs="Times New Roman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eastAsia="Lucida Sans Unicode" w:cs="Times New Roma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33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b228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b228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7d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27d4c"/>
    <w:pPr/>
    <w:rPr>
      <w:b/>
      <w:bCs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Wcicietrecitekstu">
    <w:name w:val="Body Text Indent"/>
    <w:basedOn w:val="Normal"/>
    <w:pPr>
      <w:ind w:left="0" w:right="0" w:firstLine="708"/>
    </w:pPr>
    <w:rPr>
      <w:sz w:val="20"/>
      <w:szCs w:val="20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Application>LibreOffice/6.3.4.2$Windows_X86_64 LibreOffice_project/60da17e045e08f1793c57c00ba83cdfce946d0aa</Application>
  <Pages>42</Pages>
  <Words>13109</Words>
  <Characters>75849</Characters>
  <CharactersWithSpaces>87860</CharactersWithSpaces>
  <Paragraphs>1927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2017-07-23T10:40:00Z</dcterms:created>
  <dc:creator>Gość</dc:creator>
  <dc:description/>
  <dc:language>pl-PL</dc:language>
  <cp:lastModifiedBy/>
  <dcterms:modified xsi:type="dcterms:W3CDTF">2020-09-28T17:29:22Z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